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209</w:t>
      </w:r>
    </w:p>
    <w:p>
      <w:r>
        <w:t>Bundesgericht (BGE), 1979-10-08, DE</w:t>
      </w:r>
    </w:p>
    <w:p>
      <w:r>
        <w:rPr>
          <w:b/>
        </w:rPr>
        <w:t xml:space="preserve">Quelle: </w:t>
      </w:r>
      <w:r>
        <w:t>https://mcp.opencaselaw.ch/entscheid/bge_105 V 209</w:t>
      </w:r>
    </w:p>
    <w:p>
      <w:r>
        <w:t>FR: ATF 105 V 209</w:t>
      </w:r>
    </w:p>
    <w:p>
      <w:r>
        <w:t>IT: DTF 105 V 209</w:t>
      </w:r>
    </w:p>
    <w:p>
      <w:pPr>
        <w:pStyle w:val="Heading2"/>
      </w:pPr>
      <w:r>
        <w:t>Regeste</w:t>
      </w:r>
    </w:p>
    <w:p>
      <w:r>
        <w:t>Regeste Art. 84 Abs. 1 lit. a und 88 KUVG. Der Rentenanspruch lebt nicht wieder auf, wenn die von der Witwe neu eingegangene Ehe ungültig erklärt wird. Bemerkung de lege ferenda.</w:t>
      </w:r>
    </w:p>
    <w:p>
      <w:pPr>
        <w:pStyle w:val="Heading2"/>
      </w:pPr>
      <w:r>
        <w:t>Erwägungen</w:t>
      </w:r>
    </w:p>
    <w:p>
      <w:r>
        <w:rPr>
          <w:b/>
        </w:rPr>
        <w:t>E. 1</w:t>
      </w:r>
    </w:p>
    <w:p>
      <w:r>
        <w:t>Streitig ist ausschliesslich die Rechtsfrage, ob nach Ungültigerklärung der zweiten Ehe die der Beschwerdeführerin vor Eheabschluss ausgerichtete Witwenrente wieder auflebe.</w:t>
      </w:r>
    </w:p>
    <w:p>
      <w:r>
        <w:rPr>
          <w:b/>
        </w:rPr>
        <w:t>E. 2</w:t>
      </w:r>
    </w:p>
    <w:p>
      <w:r>
        <w:t>a) Gemäss Art. 84 Abs. 1 lit. a KUVG besteht der Rentenanspruch der Witwe eines Versicherten "bis zu ihrem Tode oder ihrer Wiederverehelichung". Im Falle der Wiederverehelichung tritt nach Art. 88 KUVG an die Stelle der Rente eine Abfindung in der Höhe des dreifachen Jahresbetrages der Rente. Auf dem Gebiet der AHV bestand vor Durchführung der 6. Revision eine vergleichbare Regelung, indem nach Art. 23 BGE 105 V 209 S. 211 Abs. 3 AHVG die Witwenrente "mit der Wiederverheiratung" erlosch. In jenem Zusammenhang hatte das Eidg. Versicherungsgericht klargestellt, dass nach dem Gesetzeswortlaut jede Wiederverheiratung den Rentenanspruch untergehen lasse, ohne dass es darauf ankomme, ob die neue Ehe gültig, nichtig oder anfechtbar sei (EVGE 1956 S. 116 ff., 1957 S. 56 ff.). Es wurde namentlich auch auf die Regelung des KUVG hingewiesen, wo nichts darauf hindeute, dass eine Witwenabfindung bei Ungültigerklärung der Wiederverehelichung rückgängig gemacht werden könnte (EVGE 1957 S. 62). Nach Auffassung des Vertreters der Beschwerdeführerin ist diese Rechtsprechung neu zu überdenken. Sie führe zu einer unverständlichen Härte, die dem Rechtsempfinden zuwiderlaufe. Das KUVG weise mit Bezug auf die streitige Rechtsfrage eine Lücke auf, welche in Analogie zum revidierten Art. 23 Abs. 3 AHVG geschlossen werden müsse. b) Eine vom Richter auszufüllende - echte - Lücke im Gesetz darf nach ständiger Rechtsprechung nur dann angenommen werden, wenn das Gesetz eine sich unvermeidlicherweise stellende Rechtsfrage nicht beantwortet ( BGE 99 V 21 Erw. 2 mit Hinweisen). Auf eine solche Lücke darf nicht schon dann geschlossen werden, wenn der Richter das Fehlen einer Vorschrift als unbefriedigend empfindet. Im erwähnten Entscheid wurde zudem darauf hingewiesen, dass in der Sozialversicherung, deren Rechtsgebiete häufig Revisionen unterworfen sind, mit der Annahme echter Lücken Zurückhaltung geboten sei. Art. 84 Abs. 1 lit. a KUVG spricht sich nicht ausdrücklich darüber aus, ob nur eine gültige Wiederverehelichung den Rentenanspruch der Witwe erlöschen lässt. Die Antwort ergibt sich jedoch im Zusammenhang mit dem Begriff der Witwe. Eine Ehefrau gilt nach dem Tode ihres Ehemannes nur so lange als Witwe, als sie nicht wieder heiratet ( BGE 105 V 9 ). Mit der Wiederverheiratung - und zwar auch bei späterer Ungültigerklärung der zweiten Ehe - hört sie auf, Witwe zu sein; in bezug auf die erste Ehe ist sie es nicht mehr, in bezug auf die zweite Ehe ist sie es überhaupt nicht (EVGE 1957 S. 60). Insofern ist der Gesetzeswortlaut klar und die Materialien liefern keine Hinweise dafür, dass der Untergang der Rente auf den Fall eines gültigen Eheabschlusses beschränkt werden sollte (vgl. Botschaft des Bundesrates vom 10. Dezember 1906, BGE 105 V 209 S. 212 BBl 1906 VI 229 ff.; Sten. Bull. NR 1908 S. 487; Sten. Bull. SR 1910 S. 46) Aus der bundesrätlichen Botschaft geht namentlich hervor dass die den Rentenanspruch ablösende Witwenabfindung nicht als "Auskauf" verstanden wurde, weil die Rente infolge der Wiederverheiratung "von Rechts wegen" dahingefallen sei. Diese Regelung wurde u.a. damit begründet, dass die Witwe mit der Wiederverheiratung einen Unterhaltsanspruch gegenüber ihrem zweiten Gatten erwerbe (S. 379). Gerade in diesem Punkt besteht nun aber rechtlich kein Unterschied, ob die neu eingegangene Ehe ungültig erklärt oder geschieden wurde ( Art. 134 Abs. 2 ZGB ). In beiden Fällen besteht unter den Voraussetzungen der Art. 151 ff. ZGB der Unterhaltsanspruch weiter (vgl. auch EVGE 1956 S. 118 f., 1957 S. 58 f.). Bestehen keine Anhaltspunkte dafür, dass der historische Gesetzgeber für den Fall der Ungültigerklärung einer Ehe eine Sonderregelung treffen und die Rente wiederaufleben lassen wollte, so ist des weiteren zu prüfen, ob gewandelte Anschauungen die Annahme einer entsprechenden, vom Richter auszufüllenden Gesetzeslücke rechtfertigen ( BGE 99 V 22 Erw. 3a). Im Gegensatz zum KUVG sehen andere Sozialversicherungsgesetze des Bundes unter gewissen Voraussetzungen ein Wiederaufleben der Witwenrente nach Ungültigerklärung der neu eingegangenen Ehe vor (vgl. Art. 23 Abs. 3 AHVG in Verbindung mit Art. 46 Abs. 3 AHVV , Art. 30 Abs. 3 MVG ). Dieser Umstand lässt jedoch nicht auf das Bestehen einer echten Gesetzeslücke im Unfallversicherungsrecht schliessen. Dass das KUVG bis heute nicht in diesem Sinne ergänzt worden ist, muss vielmehr als negative Stellungnahme des Gesetzgebers gewertet werden. Sowohl bei der Einfügung der entsprechenden Bestimmung ins MVG (BG vom 19. Dezember 1963) auf Grund der Botschaft vom 26. April 1963 (BBl 1963 I 845 ff., 861) als auch bei Aufnahme einer entsprechenden Vorschrift ins AHVG (6. Revision vom 19. Dezember 1963) auf Grund der Botschaft vom 16. September 1963 (BBl 1963 II 513 ff., 570) hätte die Gelegenheit bestanden, das KUVG in diesem Punkt den anderen Sozialversicherungszweigen anzupassen. Ein solcher Vorschlag findet sich jedoch erst in der Botschaft vom 18. August 1976 zum BG über die Unfallversicherung (Art. 33; BBl 1976 III 141 ff., 196, 251). Eine Berücksichtigung dieser Regelung im Sinne einer Vorwirkung des noch nicht verabschiedeten BGE 105 V 209 S. 213 Gesetzes fällt indessen ausser Betracht (IMBODEN/RHINOW, Schweizerische Verwaltungsrechtsprechung, Bd. I, Nr. 17, S. 108 ff., BGE 100 Ia 147 ff.). c) Es ist nicht zu verkennen, dass die unterschiedliche Regelung der gleichen Frage in den verschiedenen Bereichen der Sozialversicherung nicht zu befriedigen vermag. Dabei handelt es sich jedoch um einen rechtspolitischen Mangel und damit um eine unechte Gesetzeslücke, die der Richter im allgemeinen hinzunehmen hat. Sie auszufüllen, steht ihm nach Lehre und Praxis nur dort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99 V 23 Erw. 4 mit Hinweisen). Solches trifft jedoch im vorliegenden Fall nicht zu. Vielmehr handelt es sich um ein vom Gesetzgeber zu lösendes Koordinationsproblem in der Sozialversicherung, so dass die Voraussetzungen richterlichen Eingreifens fehlen.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